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3D" w:rsidRPr="004C3309" w:rsidRDefault="00632E3D" w:rsidP="007242B0">
      <w:pPr>
        <w:pStyle w:val="4"/>
        <w:shd w:val="clear" w:color="auto" w:fill="auto"/>
        <w:spacing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7242B0">
      <w:pPr>
        <w:pStyle w:val="4"/>
        <w:shd w:val="clear" w:color="auto" w:fill="auto"/>
        <w:spacing w:line="240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5C1BD8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C1BD8">
        <w:rPr>
          <w:rFonts w:ascii="Arial" w:eastAsia="Times New Roman" w:hAnsi="Arial" w:cs="Arial"/>
          <w:sz w:val="24"/>
          <w:szCs w:val="24"/>
          <w:lang w:eastAsia="ru-RU"/>
        </w:rPr>
        <w:t xml:space="preserve">от « 30 » мая  2016 года   № 50 – </w:t>
      </w:r>
      <w:proofErr w:type="gramStart"/>
      <w:r w:rsidRPr="005C1B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A6E96" w:rsidRPr="005C1BD8" w:rsidRDefault="004C3309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BD8">
        <w:rPr>
          <w:rFonts w:ascii="Arial" w:eastAsia="Times New Roman" w:hAnsi="Arial" w:cs="Arial"/>
          <w:sz w:val="24"/>
          <w:szCs w:val="24"/>
          <w:lang w:eastAsia="ru-RU"/>
        </w:rPr>
        <w:t>(с изменениямиот 12.01.2017 № 2-П, от 21.08.2018г. № 56-П</w:t>
      </w:r>
      <w:r w:rsidR="00500477" w:rsidRPr="005C1BD8">
        <w:rPr>
          <w:rFonts w:ascii="Arial" w:eastAsia="Times New Roman" w:hAnsi="Arial" w:cs="Arial"/>
          <w:sz w:val="24"/>
          <w:szCs w:val="24"/>
          <w:lang w:eastAsia="ru-RU"/>
        </w:rPr>
        <w:t>, от</w:t>
      </w:r>
      <w:r w:rsidR="005C1BD8" w:rsidRPr="005C1BD8">
        <w:rPr>
          <w:rFonts w:ascii="Arial" w:eastAsia="Times New Roman" w:hAnsi="Arial" w:cs="Arial"/>
          <w:sz w:val="24"/>
          <w:szCs w:val="24"/>
          <w:lang w:eastAsia="ru-RU"/>
        </w:rPr>
        <w:t xml:space="preserve"> 11.01.2021 № 1-П</w:t>
      </w:r>
      <w:r w:rsidR="001A6E96" w:rsidRPr="005C1B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bookmarkEnd w:id="0"/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500477">
      <w:pPr>
        <w:tabs>
          <w:tab w:val="left" w:pos="5245"/>
        </w:tabs>
        <w:spacing w:after="0" w:line="240" w:lineRule="auto"/>
        <w:ind w:right="495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Программы по профилактике коррупции 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Default="00500477" w:rsidP="001A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от 25 декабря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2008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</w:t>
      </w:r>
      <w:r w:rsidRPr="005F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Красноярского края от 7 июля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8-3610 «О противодействии коррупции в Красноярском крае»,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муниципального образования сельское поселение Караул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 Таймырского Долгано-Ненецкого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proofErr w:type="gramEnd"/>
      <w:r w:rsidRPr="009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</w:t>
      </w:r>
    </w:p>
    <w:p w:rsidR="00500477" w:rsidRPr="004C3309" w:rsidRDefault="00500477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00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500477" w:rsidRPr="0043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коррупции в Администрации сельского поселения Караул, органах Администрации поселения, в муниципальных учреждениях и предприятиях</w:t>
      </w:r>
      <w:r w:rsidR="005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Усть-Енисеец</w:t>
      </w:r>
      <w:proofErr w:type="spell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Администрации 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Караул</w:t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А.Н. Никифоров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Default="00740D93" w:rsidP="00E458AF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458AF" w:rsidRPr="004C3309" w:rsidRDefault="00E458AF" w:rsidP="00E458AF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к Постановлению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Администрации сельского поселения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Караул от 30 мая 2016г.  №50-П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по профилактике коррупции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>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500477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Паспорт программы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4"/>
      </w:tblGrid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t>программы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1A6E96" w:rsidRPr="004C3309" w:rsidRDefault="001A6E96" w:rsidP="00500477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Программа по профилактике коррупции в Администрации сельского поселения Караул, органах Администрации поселения, в муниципальных учреждениях и предприятиях на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0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2021 - 2023 годы</w:t>
            </w:r>
            <w:r w:rsidR="00500477"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Закон Красноярского края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07.07.2009 № 8-3610 «О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 в Красноярском крае»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Исполнители мер противодействия  коррупции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Заместитель </w:t>
            </w:r>
            <w:r w:rsidR="0050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Главы сельского поселения Караул</w:t>
            </w:r>
            <w:r w:rsidR="00500477"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по КМНТ, общим вопросам и культуре (</w:t>
            </w:r>
            <w:proofErr w:type="spellStart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Д.В.);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Заместитель </w:t>
            </w:r>
            <w:r w:rsidR="0050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Главы сельского поселения Караул</w:t>
            </w:r>
            <w:r w:rsidR="00500477"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по вопросам развития инфраструктуры (Гурина Н.Б.);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Отдел управления делами Администрации сельского поселения Караул (Джумаева Е.В.); </w:t>
            </w:r>
          </w:p>
          <w:p w:rsidR="001A6E96" w:rsidRPr="004C3309" w:rsidRDefault="001A6E96" w:rsidP="00A5461A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Главный специалист по юридическим вопросам Администрации сельского поселения Караул (Гончаров И.И.)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Цели и задачи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Цели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создание условий, обеспечивающих снижение уровня коррупции в органах местного самоуправления (далее - органы МСУ), муниципальных учреждениях и предприятий, затрудняющих возможность коррупционного поведения муниципальных служащих и руководителей муниципальных учреждений и предприятий; укрепление доверия жителей муниципального образования к органам МСУ.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нормативное правовое обеспечение антикоррупционной деятельности органов МСУ;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профилактика коррупции на муниципальной службе;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-обеспечение финансового контроля в бюджетной сфере, </w:t>
            </w:r>
            <w:proofErr w:type="gramStart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использованием по назначению и сохранностью имущества, находящегося в муниципальной собственности;</w:t>
            </w:r>
          </w:p>
          <w:p w:rsidR="001A6E96" w:rsidRPr="004C3309" w:rsidRDefault="00740D93" w:rsidP="00740D9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C3309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запретов, ограничений и требований, установленных в целях противодействия </w:t>
            </w: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- совершенствование предусмотренных Федеральным </w:t>
            </w:r>
            <w:hyperlink r:id="rId6" w:history="1">
              <w:r w:rsidRPr="004C3309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4C3309">
              <w:rPr>
                <w:rFonts w:ascii="Arial" w:hAnsi="Arial" w:cs="Arial"/>
                <w:sz w:val="24"/>
                <w:szCs w:val="24"/>
              </w:rPr>
              <w:t xml:space="preserve"> от 03.12.2012 № 230-ФЗ «О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1A6E96" w:rsidRPr="004C3309" w:rsidRDefault="00500477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2021 - 2023 годы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принятие нормативных правовых актов, способствующих минимизации коррупционных проявлений в органах МСУ;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реализация положений Федерального закона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25.12.2008 № 273-ФЗ</w:t>
            </w:r>
            <w:proofErr w:type="gramStart"/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«О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снижение коррупционных рисков, препятствующих 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 при заключении сделок муниципальными учреждениями и предприятиями;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Должностные лица, осуществляющие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выполнением мер профилактики коррупции Программы</w:t>
            </w:r>
          </w:p>
        </w:tc>
        <w:tc>
          <w:tcPr>
            <w:tcW w:w="7195" w:type="dxa"/>
          </w:tcPr>
          <w:p w:rsidR="001A6E96" w:rsidRPr="004C3309" w:rsidRDefault="00500477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сельского поселения Караул</w:t>
            </w:r>
          </w:p>
        </w:tc>
      </w:tr>
    </w:tbl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>2. Меры профилактики коррупции Программы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51"/>
        <w:gridCol w:w="2311"/>
        <w:gridCol w:w="1592"/>
        <w:gridCol w:w="2327"/>
      </w:tblGrid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Ожидаемый результат от реализованных мер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/>
                <w:bCs/>
                <w:sz w:val="24"/>
                <w:szCs w:val="24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и проведения антикоррупционной экспертизы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практики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№ 273-ФЭ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противодействии коррупции» (далее - Закон № 273-Ф3)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2: профилактика коррупции на муниципальной службе</w:t>
            </w:r>
          </w:p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положений Федерального закона от 25.12.2008 № 273-Ф3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служащих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в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минимизация коррупционных проявлении в органах МСУ, формирование в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минимизация коррупционных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проявлении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участия муниципальных служащих в практических семинарах и лекциях по вопросам предупреждения коррупции в органах МСУ, в том числе об ответственности за коммерческий подкуп,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 и при наличии денежных сре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дств в б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юджете поселения</w:t>
            </w:r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обучение муниципальных служащих</w:t>
            </w:r>
          </w:p>
          <w:p w:rsidR="001A6E96" w:rsidRPr="004C3309" w:rsidRDefault="001A6E96" w:rsidP="001A6E96">
            <w:pPr>
              <w:widowControl w:val="0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rPr>
          <w:trHeight w:val="2082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>контроля за</w:t>
            </w:r>
            <w:proofErr w:type="gramEnd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собственности"</w:t>
            </w:r>
            <w:r w:rsidRPr="004C3309">
              <w:rPr>
                <w:rStyle w:val="11pt"/>
                <w:rFonts w:ascii="Arial" w:eastAsiaTheme="minorHAnsi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color w:val="auto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4C3309" w:rsidRPr="004C3309" w:rsidTr="00EE3CD7">
        <w:trPr>
          <w:trHeight w:val="1476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Style w:val="11pt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проведение разъяснительной работы с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заинтересованными лицами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иные меры,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предусмотренные муниципальными нормативными правовыми актами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совершена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сделкамуниципальными служащими, руководителями муниципальных предприятий и учреждений в информационно-телекоммуникационной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(сроки,</w:t>
            </w:r>
            <w:proofErr w:type="gramEnd"/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установленные нормативными правовыми актами органа МСУ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муниципальных предприятий и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softHyphen/>
              <w:t>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      </w:r>
          </w:p>
        </w:tc>
      </w:tr>
      <w:tr w:rsidR="001A6E96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4C330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C3309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Информация о реализации Программы за прошедший календарный год представляется для ознакомления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Главе сельского поселения Караул</w:t>
      </w:r>
      <w:r w:rsidR="00500477" w:rsidRPr="004C3309">
        <w:rPr>
          <w:rFonts w:ascii="Arial" w:hAnsi="Arial" w:cs="Arial"/>
          <w:sz w:val="24"/>
          <w:szCs w:val="24"/>
        </w:rPr>
        <w:t xml:space="preserve"> </w:t>
      </w:r>
      <w:r w:rsidRPr="004C3309">
        <w:rPr>
          <w:rFonts w:ascii="Arial" w:hAnsi="Arial" w:cs="Arial"/>
          <w:sz w:val="24"/>
          <w:szCs w:val="24"/>
        </w:rPr>
        <w:t>в срок до 25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Подготовку информации о реализации Программы за прошедший календарный год и представление ее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Главе сельского поселения Караул</w:t>
      </w:r>
      <w:r w:rsidR="00500477" w:rsidRPr="004C3309">
        <w:rPr>
          <w:rFonts w:ascii="Arial" w:hAnsi="Arial" w:cs="Arial"/>
          <w:sz w:val="24"/>
          <w:szCs w:val="24"/>
        </w:rPr>
        <w:t xml:space="preserve"> </w:t>
      </w:r>
      <w:r w:rsidRPr="004C3309">
        <w:rPr>
          <w:rFonts w:ascii="Arial" w:hAnsi="Arial" w:cs="Arial"/>
          <w:sz w:val="24"/>
          <w:szCs w:val="24"/>
        </w:rPr>
        <w:t xml:space="preserve">осуществляет отдел управления делами Администрации сельского поселения Караул  на основе </w:t>
      </w:r>
      <w:proofErr w:type="gramStart"/>
      <w:r w:rsidRPr="004C3309">
        <w:rPr>
          <w:rFonts w:ascii="Arial" w:hAnsi="Arial" w:cs="Arial"/>
          <w:sz w:val="24"/>
          <w:szCs w:val="24"/>
        </w:rPr>
        <w:t>отчетов исполнителей мер противодействия коррупции</w:t>
      </w:r>
      <w:proofErr w:type="gramEnd"/>
      <w:r w:rsidRPr="004C3309">
        <w:rPr>
          <w:rFonts w:ascii="Arial" w:hAnsi="Arial" w:cs="Arial"/>
          <w:sz w:val="24"/>
          <w:szCs w:val="24"/>
        </w:rPr>
        <w:t xml:space="preserve"> Программы, представленных в срок до 15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Отчет о реализации Программы за прошедший календарный год размещается на официальном сайте муниципального образования «Сельское поселение Караул» в срок до 10 рабочих дней со дня ознакомления с ним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Главы сельского поселения Караул</w:t>
      </w:r>
      <w:r w:rsidRPr="004C3309">
        <w:rPr>
          <w:rFonts w:ascii="Arial" w:hAnsi="Arial" w:cs="Arial"/>
          <w:sz w:val="24"/>
          <w:szCs w:val="24"/>
        </w:rPr>
        <w:t>.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277B1" w:rsidRPr="004C3309" w:rsidRDefault="00F277B1" w:rsidP="001A6E96">
      <w:pPr>
        <w:pStyle w:val="4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sectPr w:rsidR="00F277B1" w:rsidRPr="004C3309" w:rsidSect="001A6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DB30A36"/>
    <w:multiLevelType w:val="hybridMultilevel"/>
    <w:tmpl w:val="DD4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8D8"/>
    <w:multiLevelType w:val="hybridMultilevel"/>
    <w:tmpl w:val="E0AA9016"/>
    <w:lvl w:ilvl="0" w:tplc="A6187946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22F"/>
    <w:rsid w:val="000056D5"/>
    <w:rsid w:val="00031614"/>
    <w:rsid w:val="000A33F2"/>
    <w:rsid w:val="000B641C"/>
    <w:rsid w:val="000B742C"/>
    <w:rsid w:val="000C753F"/>
    <w:rsid w:val="000F022F"/>
    <w:rsid w:val="001624B5"/>
    <w:rsid w:val="001A6E96"/>
    <w:rsid w:val="002B6AA2"/>
    <w:rsid w:val="00366D66"/>
    <w:rsid w:val="003F6A73"/>
    <w:rsid w:val="00450B9D"/>
    <w:rsid w:val="004C3309"/>
    <w:rsid w:val="004F58C1"/>
    <w:rsid w:val="00500477"/>
    <w:rsid w:val="00524BC4"/>
    <w:rsid w:val="005C1BD8"/>
    <w:rsid w:val="005F41A9"/>
    <w:rsid w:val="00632E3D"/>
    <w:rsid w:val="006659BE"/>
    <w:rsid w:val="00693CEB"/>
    <w:rsid w:val="006C43D3"/>
    <w:rsid w:val="007242B0"/>
    <w:rsid w:val="00740D93"/>
    <w:rsid w:val="0077513A"/>
    <w:rsid w:val="00775978"/>
    <w:rsid w:val="007D5865"/>
    <w:rsid w:val="00803E25"/>
    <w:rsid w:val="008276D1"/>
    <w:rsid w:val="008640E8"/>
    <w:rsid w:val="008F776A"/>
    <w:rsid w:val="00966DC5"/>
    <w:rsid w:val="00A5461A"/>
    <w:rsid w:val="00A72D6A"/>
    <w:rsid w:val="00A77B83"/>
    <w:rsid w:val="00AD6CF8"/>
    <w:rsid w:val="00D235B0"/>
    <w:rsid w:val="00D271A6"/>
    <w:rsid w:val="00DE0B2C"/>
    <w:rsid w:val="00E377E0"/>
    <w:rsid w:val="00E458AF"/>
    <w:rsid w:val="00F277B1"/>
    <w:rsid w:val="00FE24A5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F923349CE1F0650A124488326E6EE74ABA1E83700689539A32E680EvAF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2018-08-21T02:49:00Z</cp:lastPrinted>
  <dcterms:created xsi:type="dcterms:W3CDTF">2018-08-21T03:09:00Z</dcterms:created>
  <dcterms:modified xsi:type="dcterms:W3CDTF">2022-04-08T07:56:00Z</dcterms:modified>
</cp:coreProperties>
</file>